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hint="default" w:ascii="Times New Roman" w:hAnsi="Times New Roman" w:eastAsia="仿宋_GB2312"/>
          <w:b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微党课比赛“党支部内部讲”具体开展计划</w:t>
      </w: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  <w:t>党支部名称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  <w:t>预计开展时间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  <w:t>预计开展地点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9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  <w:t>具体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  <w:t>开展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  <w:t>计划</w:t>
            </w:r>
          </w:p>
          <w:p>
            <w:pPr>
              <w:widowControl/>
              <w:spacing w:line="37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rPr>
                <w:rFonts w:hint="default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  <w:t>包含开展形式，主讲人，拟定题目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/>
                <w:kern w:val="0"/>
                <w:sz w:val="32"/>
                <w:szCs w:val="32"/>
                <w:lang w:val="en-US" w:eastAsia="zh-CN"/>
              </w:rPr>
              <w:t>）</w:t>
            </w: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75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7E48"/>
    <w:rsid w:val="267F59AA"/>
    <w:rsid w:val="4BE65229"/>
    <w:rsid w:val="659F12D4"/>
    <w:rsid w:val="713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2021-04-22T02:37:00Z</dcterms:created>
  <dc:creator>祝捷</dc:creator>
  <cp:lastModifiedBy>祝捷</cp:lastModifiedBy>
  <dcterms:modified xsi:type="dcterms:W3CDTF">2021-04-22T03:22:18Z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